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Jornadas virtuales de Becarias y Becarios de la SeCyT UNC 2020</w:t>
      </w:r>
    </w:p>
    <w:p w:rsidR="00000000" w:rsidDel="00000000" w:rsidP="00000000" w:rsidRDefault="00000000" w:rsidRPr="00000000" w14:paraId="00000002">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Nombre del becario: </w:t>
      </w:r>
      <w:r w:rsidDel="00000000" w:rsidR="00000000" w:rsidRPr="00000000">
        <w:rPr>
          <w:rFonts w:ascii="Calibri" w:cs="Calibri" w:eastAsia="Calibri" w:hAnsi="Calibri"/>
          <w:rtl w:val="0"/>
        </w:rPr>
        <w:t xml:space="preserve">Iván Zgaib</w:t>
      </w:r>
    </w:p>
    <w:p w:rsidR="00000000" w:rsidDel="00000000" w:rsidP="00000000" w:rsidRDefault="00000000" w:rsidRPr="00000000" w14:paraId="00000005">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Título de la investigación: “</w:t>
      </w:r>
      <w:r w:rsidDel="00000000" w:rsidR="00000000" w:rsidRPr="00000000">
        <w:rPr>
          <w:rFonts w:ascii="Calibri" w:cs="Calibri" w:eastAsia="Calibri" w:hAnsi="Calibri"/>
          <w:rtl w:val="0"/>
        </w:rPr>
        <w:t xml:space="preserve">Mutaciones de lo real: procedimientos de extrañamiento espacio-temporales en el cine contemporáneo de Argentina y Brasil (2010-2020)”</w:t>
      </w:r>
      <w:r w:rsidDel="00000000" w:rsidR="00000000" w:rsidRPr="00000000">
        <w:rPr>
          <w:rtl w:val="0"/>
        </w:rPr>
      </w:r>
    </w:p>
    <w:p w:rsidR="00000000" w:rsidDel="00000000" w:rsidP="00000000" w:rsidRDefault="00000000" w:rsidRPr="00000000" w14:paraId="00000006">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Director: </w:t>
      </w:r>
      <w:r w:rsidDel="00000000" w:rsidR="00000000" w:rsidRPr="00000000">
        <w:rPr>
          <w:rFonts w:ascii="Calibri" w:cs="Calibri" w:eastAsia="Calibri" w:hAnsi="Calibri"/>
          <w:rtl w:val="0"/>
        </w:rPr>
        <w:t xml:space="preserve">Agustín Berti</w:t>
      </w:r>
    </w:p>
    <w:p w:rsidR="00000000" w:rsidDel="00000000" w:rsidP="00000000" w:rsidRDefault="00000000" w:rsidRPr="00000000" w14:paraId="00000007">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Pertenencia institucional:</w:t>
      </w:r>
      <w:r w:rsidDel="00000000" w:rsidR="00000000" w:rsidRPr="00000000">
        <w:rPr>
          <w:rFonts w:ascii="Calibri" w:cs="Calibri" w:eastAsia="Calibri" w:hAnsi="Calibri"/>
          <w:rtl w:val="0"/>
        </w:rPr>
        <w:t xml:space="preserve"> Centro de Investigaciones "María Saleme de Burnichon" (C.I.F.F. y H.) | F.F. y H.</w:t>
      </w:r>
    </w:p>
    <w:p w:rsidR="00000000" w:rsidDel="00000000" w:rsidP="00000000" w:rsidRDefault="00000000" w:rsidRPr="00000000" w14:paraId="00000008">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Formato elegido: </w:t>
      </w:r>
      <w:r w:rsidDel="00000000" w:rsidR="00000000" w:rsidRPr="00000000">
        <w:rPr>
          <w:rFonts w:ascii="Calibri" w:cs="Calibri" w:eastAsia="Calibri" w:hAnsi="Calibri"/>
          <w:rtl w:val="0"/>
        </w:rPr>
        <w:t xml:space="preserve">video</w:t>
      </w:r>
    </w:p>
    <w:p w:rsidR="00000000" w:rsidDel="00000000" w:rsidP="00000000" w:rsidRDefault="00000000" w:rsidRPr="00000000" w14:paraId="0000000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Resúmen</w:t>
      </w:r>
    </w:p>
    <w:p w:rsidR="00000000" w:rsidDel="00000000" w:rsidP="00000000" w:rsidRDefault="00000000" w:rsidRPr="00000000" w14:paraId="0000000B">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Este trabajo aborda los procedimientos de extrañamiento sobre las dimensiones de tiempo y espacio en el cine argentino y brasileño contemporáneo, a partir de ciertas películas que trabajan en torno al presente histórico. Desde allí, la investigación recupera lecturas canónicas sobre el cine reciente de Argentina y Brasil y su relación con el mundo, bajo la hipótesis de que aquellos diagnósticos exigen ser revisados ante la emergencia de poéticas singulares de los últimos diez años. </w:t>
      </w:r>
    </w:p>
    <w:p w:rsidR="00000000" w:rsidDel="00000000" w:rsidP="00000000" w:rsidRDefault="00000000" w:rsidRPr="00000000" w14:paraId="0000000C">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tesis propone leer una ruptura: la irrupción de divergencias y fugas que recorren al cine argentino y brasileño y lo ubica más allá del realismo dominante. Películas recientes como </w:t>
      </w:r>
      <w:r w:rsidDel="00000000" w:rsidR="00000000" w:rsidRPr="00000000">
        <w:rPr>
          <w:rFonts w:ascii="Calibri" w:cs="Calibri" w:eastAsia="Calibri" w:hAnsi="Calibri"/>
          <w:i w:val="1"/>
          <w:rtl w:val="0"/>
        </w:rPr>
        <w:t xml:space="preserve">Branco Sai, Preto Fica </w:t>
      </w:r>
      <w:r w:rsidDel="00000000" w:rsidR="00000000" w:rsidRPr="00000000">
        <w:rPr>
          <w:rFonts w:ascii="Calibri" w:cs="Calibri" w:eastAsia="Calibri" w:hAnsi="Calibri"/>
          <w:rtl w:val="0"/>
        </w:rPr>
        <w:t xml:space="preserve">(Queirós, 2014), </w:t>
      </w:r>
      <w:r w:rsidDel="00000000" w:rsidR="00000000" w:rsidRPr="00000000">
        <w:rPr>
          <w:rFonts w:ascii="Calibri" w:cs="Calibri" w:eastAsia="Calibri" w:hAnsi="Calibri"/>
          <w:i w:val="1"/>
          <w:rtl w:val="0"/>
        </w:rPr>
        <w:t xml:space="preserve">El movimiento </w:t>
      </w:r>
      <w:r w:rsidDel="00000000" w:rsidR="00000000" w:rsidRPr="00000000">
        <w:rPr>
          <w:rFonts w:ascii="Calibri" w:cs="Calibri" w:eastAsia="Calibri" w:hAnsi="Calibri"/>
          <w:rtl w:val="0"/>
        </w:rPr>
        <w:t xml:space="preserve">(Naishtat, 2015), </w:t>
      </w:r>
      <w:r w:rsidDel="00000000" w:rsidR="00000000" w:rsidRPr="00000000">
        <w:rPr>
          <w:rFonts w:ascii="Calibri" w:cs="Calibri" w:eastAsia="Calibri" w:hAnsi="Calibri"/>
          <w:i w:val="1"/>
          <w:rtl w:val="0"/>
        </w:rPr>
        <w:t xml:space="preserve">El auge del humano</w:t>
      </w:r>
      <w:r w:rsidDel="00000000" w:rsidR="00000000" w:rsidRPr="00000000">
        <w:rPr>
          <w:rFonts w:ascii="Calibri" w:cs="Calibri" w:eastAsia="Calibri" w:hAnsi="Calibri"/>
          <w:rtl w:val="0"/>
        </w:rPr>
        <w:t xml:space="preserve"> (Williams, 2016), </w:t>
      </w:r>
      <w:r w:rsidDel="00000000" w:rsidR="00000000" w:rsidRPr="00000000">
        <w:rPr>
          <w:rFonts w:ascii="Calibri" w:cs="Calibri" w:eastAsia="Calibri" w:hAnsi="Calibri"/>
          <w:i w:val="1"/>
          <w:rtl w:val="0"/>
        </w:rPr>
        <w:t xml:space="preserve">Sol Alegria </w:t>
      </w:r>
      <w:r w:rsidDel="00000000" w:rsidR="00000000" w:rsidRPr="00000000">
        <w:rPr>
          <w:rFonts w:ascii="Calibri" w:cs="Calibri" w:eastAsia="Calibri" w:hAnsi="Calibri"/>
          <w:rtl w:val="0"/>
        </w:rPr>
        <w:t xml:space="preserve">(Teixeira, 2018), </w:t>
      </w:r>
      <w:r w:rsidDel="00000000" w:rsidR="00000000" w:rsidRPr="00000000">
        <w:rPr>
          <w:rFonts w:ascii="Calibri" w:cs="Calibri" w:eastAsia="Calibri" w:hAnsi="Calibri"/>
          <w:i w:val="1"/>
          <w:rtl w:val="0"/>
        </w:rPr>
        <w:t xml:space="preserve">Baixo Centro </w:t>
      </w:r>
      <w:r w:rsidDel="00000000" w:rsidR="00000000" w:rsidRPr="00000000">
        <w:rPr>
          <w:rFonts w:ascii="Calibri" w:cs="Calibri" w:eastAsia="Calibri" w:hAnsi="Calibri"/>
          <w:rtl w:val="0"/>
        </w:rPr>
        <w:t xml:space="preserve">(Marotta y Belico, 2018) y </w:t>
      </w:r>
      <w:r w:rsidDel="00000000" w:rsidR="00000000" w:rsidRPr="00000000">
        <w:rPr>
          <w:rFonts w:ascii="Calibri" w:cs="Calibri" w:eastAsia="Calibri" w:hAnsi="Calibri"/>
          <w:i w:val="1"/>
          <w:rtl w:val="0"/>
        </w:rPr>
        <w:t xml:space="preserve">Las hijas del fuego </w:t>
      </w:r>
      <w:r w:rsidDel="00000000" w:rsidR="00000000" w:rsidRPr="00000000">
        <w:rPr>
          <w:rFonts w:ascii="Calibri" w:cs="Calibri" w:eastAsia="Calibri" w:hAnsi="Calibri"/>
          <w:rtl w:val="0"/>
        </w:rPr>
        <w:t xml:space="preserve">(Carri, 2018) emplean estrategias de extrañamiento</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sobre sus dimensiones espaciales y temporales, rompiendo con el verosímil realista. En ese punto, las coordenadas de tiempo y espacio permanecen abiertas, fluctuantes y discontinuas: presentan conexiones inusuales que no pueden circunscribirse únicamente a los límites de la representación mimética, la producción de sentidos ideológicos o del reflejo de la realidad y sus condiciones de producción. </w:t>
      </w:r>
    </w:p>
    <w:p w:rsidR="00000000" w:rsidDel="00000000" w:rsidP="00000000" w:rsidRDefault="00000000" w:rsidRPr="00000000" w14:paraId="0000000D">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 investigación propone entonces analizar las experimentaciones poéticas espacio-temporales que conforman este corpus desde el carácter productor del cine; es decir, considerando que los procedimientos de extrañamiento que se ponen en juego ejercen un distanciamiento con respecto al mundo real, pero al mismo tiempo habilitan otros modos de percibir el espacio, el tiempo y las relaciones sociales del presente.</w:t>
      </w:r>
    </w:p>
    <w:p w:rsidR="00000000" w:rsidDel="00000000" w:rsidP="00000000" w:rsidRDefault="00000000" w:rsidRPr="00000000" w14:paraId="0000000E">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Sobre aquella dirección, el análisis de los procedimientos de extrañamiento espacio-temporales permitirá problematizar distintas modulaciones entre lo real y el artificio. Éste se trata de un campo rico a explorar ya que está conformado cada vez por más películas de realizadores jóvenes que aún no han sido abordados teóricamente y de otros más establecidos que introducen nuevos giros en sus filmografías. Asimismo, la mayor parte de los antecedentes han pensado la relación entre el cine y el presente histórico a nivel del contenido (en relación a las representaciones de clase social, género, etc.) o en el marco del llamado “retorno a lo real” y las relaciones entre ficción y documental. Este proyecto, por el contrario, se propone ahondar en los procedimientos de extrañamiento estético como configuradores de poéticas y prácticas espaciales y temporales que divergen del verosímil realista y de la representación mimética.</w:t>
      </w:r>
    </w:p>
    <w:p w:rsidR="00000000" w:rsidDel="00000000" w:rsidP="00000000" w:rsidRDefault="00000000" w:rsidRPr="00000000" w14:paraId="0000000F">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3">
      <w:pPr>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Entenderé por “extrañamiento” las operaciones que interrumpen la experiencia inmersiva e impiden los procesos usuales de identificación y aceptación normalizada del flujo audiovisual. Desde allí, la categoría se vincula a la idea formalista rusa de “hacer extraño” (Shklovski, 1991) y del brechtiano Verfremdungseffekt (Brecht, 2004), así como a los aportes contemporáneos de Flatley (2009) sobre los procesos de auto-separación que proponen algunas obras de arte en tanto productores de nuevos afectos. Tal “afectividad” no se refiere al espacio de la intimidad, sino a un modo de canalización particular entre estética e historia.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