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80" w:rsidRPr="00874899" w:rsidRDefault="00606F80" w:rsidP="00FD6127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874899"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  <w:t>Titulo</w:t>
      </w:r>
      <w:r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: </w:t>
      </w:r>
      <w:r w:rsidR="007F5FBD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Sostenibilidad de la vida y salud en el cinturón verde de la ciudad de Córdoba. Procesos cotidianos de mujeres horticultoras desde una perspectiva feminista</w:t>
      </w:r>
    </w:p>
    <w:p w:rsidR="007F5FBD" w:rsidRPr="00874899" w:rsidRDefault="007F5FBD" w:rsidP="00FD6127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874899"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  <w:t>Becaria</w:t>
      </w:r>
      <w:r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 Luciana Dezzotti. Instituto de Estudios en Comunicación, Expresión y Tecnología (IECET), Centro Científico Tecnológico (CCT</w:t>
      </w:r>
      <w:r w:rsidR="00A86710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</w:t>
      </w:r>
      <w:r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Consejo Nacional de Investigaciones Científicas y Técnicas (CONICET), Universidad Nacional de Córdoba (UNC).</w:t>
      </w:r>
      <w:r w:rsidR="0087489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0F6359" w:rsidRPr="00874899" w:rsidRDefault="000F6359" w:rsidP="00FD6127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874899"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  <w:t>Director</w:t>
      </w:r>
      <w:r w:rsidR="007F5FBD" w:rsidRPr="00874899"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  <w:t>a</w:t>
      </w:r>
      <w:r w:rsidR="007F5FBD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 Mariana Butinof. Escuela de Nutrición (EN), Facultad de Ciencias Médicas (FCM), Universidad Nacional de Córdoba (UNC).</w:t>
      </w:r>
    </w:p>
    <w:p w:rsidR="007F5FBD" w:rsidRPr="00874899" w:rsidRDefault="007F5FBD" w:rsidP="00FD6127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</w:pPr>
      <w:r w:rsidRPr="00874899">
        <w:rPr>
          <w:rFonts w:asciiTheme="majorHAnsi" w:hAnsiTheme="majorHAnsi" w:cs="Arial"/>
          <w:color w:val="222222"/>
          <w:sz w:val="24"/>
          <w:szCs w:val="24"/>
          <w:u w:val="single"/>
          <w:shd w:val="clear" w:color="auto" w:fill="FFFFFF"/>
        </w:rPr>
        <w:t xml:space="preserve">Resumen </w:t>
      </w:r>
    </w:p>
    <w:p w:rsidR="006A6480" w:rsidRPr="00874899" w:rsidRDefault="00502B6C" w:rsidP="00FD6127">
      <w:pPr>
        <w:spacing w:after="0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 lo largo de un proceso histórico se establece el sistema patriarcal capitalista (SPC), el cual organiza las relaciones de interdependencia </w:t>
      </w:r>
      <w:r w:rsidR="00142684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para asegurar la acumulación del capital</w:t>
      </w:r>
      <w:r w:rsid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; </w:t>
      </w:r>
      <w:r w:rsidR="00142684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para esto convierte a mujeres y naturaleza en recurso disponible. </w:t>
      </w:r>
      <w:r w:rsidR="007F5FBD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cinturón verde </w:t>
      </w:r>
      <w:r w:rsidR="009A3BEB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de la ciudad de Córdoba (CVCC),  zona de importancia</w:t>
      </w:r>
      <w:r w:rsidR="00784DDA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en el cultivo de</w:t>
      </w:r>
      <w:r w:rsidR="009A3BEB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hortalizas,</w:t>
      </w:r>
      <w:r w:rsidR="007B2DA1" w:rsidRPr="00142684">
        <w:t xml:space="preserve"> </w:t>
      </w:r>
      <w:r w:rsidR="007B2DA1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responde al modelo de agricultura industrial</w:t>
      </w:r>
      <w:r w:rsidR="00103126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extractiva, </w:t>
      </w:r>
      <w:r w:rsidR="007B2DA1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con impactos negativos en la</w:t>
      </w:r>
      <w:r w:rsidR="00103126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salud humana</w:t>
      </w:r>
      <w:r w:rsidR="00784DDA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y </w:t>
      </w:r>
      <w:r w:rsidR="009F2DDF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</w:t>
      </w:r>
      <w:r w:rsidR="00103126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ambiente. </w:t>
      </w:r>
      <w:r w:rsidR="00910A79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Inmersas-os en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territorio, </w:t>
      </w:r>
      <w:r w:rsidR="00A858E8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</w:t>
      </w:r>
      <w:r w:rsidR="00910A79" w:rsidRP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rabajadoras-es despliegan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la vida cotidiana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en un </w:t>
      </w:r>
      <w:r w:rsidR="00112F7D" w:rsidRP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continuum</w:t>
      </w:r>
      <w:r w:rsid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quinta- hogar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</w:t>
      </w:r>
      <w:r w:rsidR="0014268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as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mujeres horticultoras (MH) 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combinan trabajo hortícola, doméstico y de cuidados no remunerado y, en algunas ocasiones, otro remunerado, asumiendo </w:t>
      </w:r>
      <w:r w:rsidR="00910A7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doble o triple re</w:t>
      </w:r>
      <w:r w:rsidR="00AE6AEE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sponsabilidad; 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primero se desvaloriza bajo la figura de “ayuda”, el segundo, </w:t>
      </w:r>
      <w:r w:rsidR="00AE6AEE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oculto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r w:rsidR="00910A7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un “deber” de la mujer.</w:t>
      </w:r>
      <w:r w:rsidR="0087275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En este escenario, 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</w:t>
      </w:r>
      <w:r w:rsidR="00463DE6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vínculo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salud- trabajo- género cobra especial importancia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 P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or un lado, 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la horticultura que aquí se practica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implica exposición a plaguicidas, </w:t>
      </w:r>
      <w:r w:rsidR="00910A79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por otro,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el trabajo de las 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MH se desvalor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iz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y oculta;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dos procesos que modulan su salud y la de </w:t>
      </w:r>
      <w:proofErr w:type="spellStart"/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miembr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as</w:t>
      </w:r>
      <w:proofErr w:type="spellEnd"/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-os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de la unidad doméstica. Desde la perspectiva feminista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crítica a los sesgos </w:t>
      </w:r>
      <w:r w:rsidRPr="00502B6C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androcéntricos sexistas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, 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 asumen los procesos productivos y reproductivos como indivisibles mediante el uso de un término bisagra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: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s</w:t>
      </w:r>
      <w:r w:rsidR="002B5D44" w:rsidRPr="00BF66D2">
        <w:rPr>
          <w:rFonts w:ascii="Times New Roman" w:hAnsi="Times New Roman" w:cs="Times New Roman"/>
          <w:sz w:val="24"/>
          <w:szCs w:val="24"/>
        </w:rPr>
        <w:t>ostenibilidad de la vida</w:t>
      </w:r>
      <w:r w:rsidR="000B33A1">
        <w:rPr>
          <w:rFonts w:ascii="Times New Roman" w:hAnsi="Times New Roman" w:cs="Times New Roman"/>
          <w:sz w:val="24"/>
          <w:szCs w:val="24"/>
        </w:rPr>
        <w:t xml:space="preserve">, 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actividades</w:t>
      </w:r>
      <w:r w:rsidR="002B5D44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y procesos que permiten la satisfacción de necesidades materiales, de afectos y relaciones</w:t>
      </w:r>
      <w:r w:rsidR="002B5D4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</w:t>
      </w:r>
      <w:r w:rsidR="006A648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</w:t>
      </w:r>
      <w:r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l </w:t>
      </w:r>
      <w:r w:rsidR="000B33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presente estudio tiene como objetivo </w:t>
      </w:r>
      <w:r w:rsidR="00112F7D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comprender los procesos de sos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tenibilidad de la vida y salud </w:t>
      </w:r>
      <w:r w:rsidR="00112F7D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desde las práctica</w:t>
      </w:r>
      <w:r w:rsidR="00112F7D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 y discursos que despliegan </w:t>
      </w:r>
      <w:r w:rsidR="00112F7D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las MH del CVCC</w:t>
      </w:r>
      <w:r w:rsidR="006A648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.  </w:t>
      </w:r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</w:t>
      </w:r>
      <w:r w:rsidR="00FD6127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econociendo que el SPC “aglutina e impregna todas las realidades que confluyen en él</w:t>
      </w:r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” (</w:t>
      </w:r>
      <w:proofErr w:type="spellStart"/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Sandón</w:t>
      </w:r>
      <w:proofErr w:type="spellEnd"/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de León, 2019, p. 64), se sostiene como hipótesis que las MH </w:t>
      </w:r>
      <w:r w:rsidR="00FD6127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despliegan prác</w:t>
      </w:r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ticas individuales y colectivas</w:t>
      </w:r>
      <w:r w:rsidR="00FD6127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que permiten</w:t>
      </w:r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 la sostenibilidad de la vida de ellas y </w:t>
      </w:r>
      <w:proofErr w:type="spellStart"/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miembras</w:t>
      </w:r>
      <w:proofErr w:type="spellEnd"/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-os de la unidad doméstica;</w:t>
      </w:r>
      <w:r w:rsidR="00FD6127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proceso vinculado al cuidado de la salud en un contexto de exposición a plaguicidas.</w:t>
      </w:r>
      <w:r w:rsidR="00FD612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6A6480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 propone un abordaje metodológico cualitativo, anclado en los cruces de la investigación</w:t>
      </w:r>
      <w:r w:rsidR="006A648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feminista y la salud colectiva, particularmente el enfoque de la determinación social de la salud, propuesto por la epidemiologia critica. </w:t>
      </w:r>
      <w:r w:rsidR="006A6480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Serán sujetas de estudio al menos 15 MH que residan en el CVCC, considerando las diferentes </w:t>
      </w:r>
      <w:proofErr w:type="spellStart"/>
      <w:r w:rsidR="006A6480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étnias</w:t>
      </w:r>
      <w:proofErr w:type="spellEnd"/>
      <w:r w:rsidR="006A6480" w:rsidRPr="00874899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-culturas y su distribución en el territorio. El proyecto busca comprender, para visibilizar y así aportar a la transformación de desigualdades vinculadas al género en el CVCC. </w:t>
      </w:r>
    </w:p>
    <w:p w:rsidR="000F6359" w:rsidRPr="007F5FBD" w:rsidRDefault="000F6359" w:rsidP="00FD6127">
      <w:pPr>
        <w:spacing w:after="0"/>
        <w:jc w:val="both"/>
        <w:rPr>
          <w:rFonts w:asciiTheme="majorHAnsi" w:hAnsiTheme="majorHAnsi"/>
        </w:rPr>
      </w:pPr>
    </w:p>
    <w:sectPr w:rsidR="000F6359" w:rsidRPr="007F5FBD" w:rsidSect="0012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055E8"/>
    <w:rsid w:val="000900E4"/>
    <w:rsid w:val="000B064C"/>
    <w:rsid w:val="000B33A1"/>
    <w:rsid w:val="000F6359"/>
    <w:rsid w:val="00103126"/>
    <w:rsid w:val="00112F7D"/>
    <w:rsid w:val="0012467B"/>
    <w:rsid w:val="00142684"/>
    <w:rsid w:val="002B5D44"/>
    <w:rsid w:val="00336273"/>
    <w:rsid w:val="003E2783"/>
    <w:rsid w:val="00463DE6"/>
    <w:rsid w:val="004F1A3B"/>
    <w:rsid w:val="00502B6C"/>
    <w:rsid w:val="00606F80"/>
    <w:rsid w:val="00615C86"/>
    <w:rsid w:val="006A6480"/>
    <w:rsid w:val="0073670B"/>
    <w:rsid w:val="00784DDA"/>
    <w:rsid w:val="007B2DA1"/>
    <w:rsid w:val="007F5FBD"/>
    <w:rsid w:val="00812CEC"/>
    <w:rsid w:val="00872751"/>
    <w:rsid w:val="00874899"/>
    <w:rsid w:val="00910A79"/>
    <w:rsid w:val="009A3BEB"/>
    <w:rsid w:val="009F2DDF"/>
    <w:rsid w:val="00A858E8"/>
    <w:rsid w:val="00A86710"/>
    <w:rsid w:val="00AE6AEE"/>
    <w:rsid w:val="00B469C7"/>
    <w:rsid w:val="00D41905"/>
    <w:rsid w:val="00DB6F6F"/>
    <w:rsid w:val="00ED06D1"/>
    <w:rsid w:val="00F055E8"/>
    <w:rsid w:val="00FD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</dc:creator>
  <cp:lastModifiedBy>tecno</cp:lastModifiedBy>
  <cp:revision>4</cp:revision>
  <dcterms:created xsi:type="dcterms:W3CDTF">2020-09-03T23:31:00Z</dcterms:created>
  <dcterms:modified xsi:type="dcterms:W3CDTF">2020-09-04T21:37:00Z</dcterms:modified>
</cp:coreProperties>
</file>