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PRESUPUESTO PARA FINANCIAMIENTO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(ver aclaraciones al pie de cuadro)</w:t>
      </w: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3"/>
        <w:gridCol w:w="2161"/>
        <w:gridCol w:w="2161"/>
        <w:gridCol w:w="2981"/>
        <w:tblGridChange w:id="0">
          <w:tblGrid>
            <w:gridCol w:w="2053"/>
            <w:gridCol w:w="2161"/>
            <w:gridCol w:w="2161"/>
            <w:gridCol w:w="2981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3">
            <w:pPr>
              <w:spacing w:after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RUBRO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DETALLE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Solicitado a la SEU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Provisto por otras fuentes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76" w:lineRule="auto"/>
              <w:ind w:left="142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 Bienes de consumo y servicios.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ind w:left="142" w:firstLine="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(Ejemplos: compra de artículos de librería, contratación de colectivos, impresiones, alquiler de equipamiento, etc.)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ind w:lef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ind w:left="142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 Bibliografía.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388.8378906250000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ind w:left="14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ind w:left="142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3. Equipamiento.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left="142" w:firstLine="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(Compra de bienes no consumibles)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ind w:left="14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ind w:left="142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4. Gastos para la publicación de los resultados del proyecto.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ind w:left="14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4.2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ind w:left="142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 Gastos de servicios técnicos especializados para el proyecto.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left="142" w:firstLine="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(Ejemplos: contratación de capacitador, contratación de diseñador gráfico, contratación de realizadora audiovisual, etc.)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403.8378906250000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76" w:lineRule="auto"/>
              <w:ind w:left="14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76" w:lineRule="auto"/>
              <w:ind w:left="142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6. Gastos de movilidad y comida que, relacionados con el proyecto, utilicen los integrantes del equipo de trabajo.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left="142"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(Gastos de traslados, comidas, etc., que generan los miembros del equipo durante la ejecución del proyecto)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6.1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76" w:lineRule="auto"/>
              <w:ind w:left="14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20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MONTO TOTAL $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  $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  $</w:t>
            </w:r>
          </w:p>
        </w:tc>
      </w:tr>
    </w:tbl>
    <w:p w:rsidR="00000000" w:rsidDel="00000000" w:rsidP="00000000" w:rsidRDefault="00000000" w:rsidRPr="00000000" w14:paraId="0000003F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(Insertar tantas filas como sean necesarias.)</w:t>
      </w:r>
    </w:p>
    <w:p w:rsidR="00000000" w:rsidDel="00000000" w:rsidP="00000000" w:rsidRDefault="00000000" w:rsidRPr="00000000" w14:paraId="00000040">
      <w:pPr>
        <w:rPr/>
      </w:pPr>
      <w:bookmarkStart w:colFirst="0" w:colLast="0" w:name="_heading=h.jueahcbrm3sp" w:id="1"/>
      <w:bookmarkEnd w:id="1"/>
      <w:r w:rsidDel="00000000" w:rsidR="00000000" w:rsidRPr="00000000">
        <w:rPr>
          <w:b w:val="1"/>
          <w:bCs w:val="1"/>
          <w:u w:val="single"/>
          <w:rtl w:val="0"/>
        </w:rPr>
        <w:t xml:space="preserve">ACLARACIONES IMPORTANTES EN RELACIÓN A LA PRESENTACIÓN DEL 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Cuestiones normativas a considerar: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Artículo 17º: Destino de los fondos del subsidio a PGAAC. Sólo financiará gastos de funcionamiento justificados estrictamente por el plan de actividades propuesto.</w:t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subsidios otorgados podrán financiar únicamente los siguientes rubros:</w:t>
      </w:r>
    </w:p>
    <w:p w:rsidR="00000000" w:rsidDel="00000000" w:rsidP="00000000" w:rsidRDefault="00000000" w:rsidRPr="00000000" w14:paraId="00000045">
      <w:pPr>
        <w:spacing w:after="0" w:lineRule="auto"/>
        <w:ind w:left="14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Bienes de consumo y servicios.</w:t>
      </w:r>
    </w:p>
    <w:p w:rsidR="00000000" w:rsidDel="00000000" w:rsidP="00000000" w:rsidRDefault="00000000" w:rsidRPr="00000000" w14:paraId="00000046">
      <w:pPr>
        <w:spacing w:after="0" w:lineRule="auto"/>
        <w:ind w:left="14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Bibliografía.</w:t>
      </w:r>
    </w:p>
    <w:p w:rsidR="00000000" w:rsidDel="00000000" w:rsidP="00000000" w:rsidRDefault="00000000" w:rsidRPr="00000000" w14:paraId="00000047">
      <w:pPr>
        <w:spacing w:after="0" w:lineRule="auto"/>
        <w:ind w:left="14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Equipamiento.</w:t>
      </w:r>
    </w:p>
    <w:p w:rsidR="00000000" w:rsidDel="00000000" w:rsidP="00000000" w:rsidRDefault="00000000" w:rsidRPr="00000000" w14:paraId="00000048">
      <w:pPr>
        <w:spacing w:after="0" w:lineRule="auto"/>
        <w:ind w:left="14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Gastos para la publicación de los resultados del proyecto.</w:t>
      </w:r>
    </w:p>
    <w:p w:rsidR="00000000" w:rsidDel="00000000" w:rsidP="00000000" w:rsidRDefault="00000000" w:rsidRPr="00000000" w14:paraId="00000049">
      <w:pPr>
        <w:spacing w:after="0" w:lineRule="auto"/>
        <w:ind w:left="14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Gastos de servicios técnicos especializados para el proyecto.</w:t>
      </w:r>
    </w:p>
    <w:p w:rsidR="00000000" w:rsidDel="00000000" w:rsidP="00000000" w:rsidRDefault="00000000" w:rsidRPr="00000000" w14:paraId="0000004A">
      <w:pPr>
        <w:spacing w:after="0" w:lineRule="auto"/>
        <w:ind w:left="14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 Gastos de movilidad y comida que, relacionados con el proyecto, utilicen los integrantes del equipo de trabajo.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Artículo 19º. El destino de bienes no consumibles (rubro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Equipamiento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), deberá estar previsto y debidamente justificado en el proyecto.</w:t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142" w:firstLine="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Aclaraciones: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es necesario completar todos los rubros.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ningún caso el monto de gastos de cada rubro particular podrá ser superior al 30% del subsidio total , excepto en el rubro equipamiento que podrá llegar hasta el 35%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(esto significa por ej. un límite de $227.500 para equipamiento y de $195.000 para el resto de los rubros, si el total solicitado a la SEU fuese el tope máximo de $650.000 otorgado por este subsidio).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Dada la naturaleza de la convocatoria, que implica la participación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0"/>
          <w:szCs w:val="20"/>
          <w:rtl w:val="0"/>
        </w:rPr>
        <w:t xml:space="preserve">ad honorem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de los/las integrantes y que los fondos son destinados a la realización del proyecto en los términos expresados en la misma, no es viable que integrantes de los equipos puedan emitir tickets o facturas en cualquier modalidad para este subsidio.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bienes no consumibles del rubro “Equipamiento”, adquiridos con fondos del presente Programa, son propiedad de la SEU-UNC, debiendo ser entregados una vez finalizado el proyecto. A pedido del/de la Director/a, esos bienes podrán ser transferidos a la unidad académica de pertenencia de la UNC.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1417.322834645669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El total a cargo de la SEU no podrá superar el límite indicado en la convocatoria.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3028950</wp:posOffset>
          </wp:positionH>
          <wp:positionV relativeFrom="page">
            <wp:posOffset>116205</wp:posOffset>
          </wp:positionV>
          <wp:extent cx="1414463" cy="707231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7072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05C2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05C2C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5DA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4F4A90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9B087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B087F"/>
  </w:style>
  <w:style w:type="paragraph" w:styleId="Piedepgina">
    <w:name w:val="footer"/>
    <w:basedOn w:val="Normal"/>
    <w:link w:val="PiedepginaCar"/>
    <w:uiPriority w:val="99"/>
    <w:unhideWhenUsed w:val="1"/>
    <w:rsid w:val="009B087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B087F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iv1pq5ygekR2Bp8iTqiqOgApg==">CgMxLjAyCGguZ2pkZ3hzMg5oLmp1ZWFoY2JybTNzcDgAaiIKEnN1Z2dlc3QudDJhcnE4YW5hNhIMRElFR08gUElHSU5JciExR0tzdHJKbGlwS0VRa1MteXJLTm9OWmhmSEZDcnJOWXM=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2020-12-02T12:40:00Z</dcterms:created>
  <dc:creator>Juanjo</dc:creator>
</cp:coreProperties>
</file>