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401" w:rsidRPr="000C7401" w:rsidRDefault="000C7401" w:rsidP="000C740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t xml:space="preserve">DECLARACIÓN JURADA </w:t>
      </w:r>
    </w:p>
    <w:p w:rsidR="000C7401" w:rsidRPr="000C7401" w:rsidRDefault="000C7401" w:rsidP="000C7401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Sr. Director General del </w:t>
      </w: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(FONCyT)</w:t>
      </w:r>
    </w:p>
    <w:p w:rsidR="000C7401" w:rsidRPr="000C7401" w:rsidRDefault="000C7401" w:rsidP="000C740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Sr. </w:t>
      </w:r>
    </w:p>
    <w:p w:rsidR="000C7401" w:rsidRPr="000C7401" w:rsidRDefault="000C7401" w:rsidP="000C740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>S/D</w:t>
      </w:r>
    </w:p>
    <w:p w:rsidR="000C7401" w:rsidRPr="000C7401" w:rsidRDefault="000C7401" w:rsidP="000C740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(Nombre y Apellido del IR</w:t>
      </w: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)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 …………………………………………., en mi carácter de Investigador Responsable del Proyecto Nº………denominado “…………………………………………………………………………………” en el marco de la Convocatoria 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(línea y año</w:t>
      </w: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)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 ………………………, manifiesto en carácter de DECLARACIÓN JURADA lo siguiente:</w:t>
      </w:r>
    </w:p>
    <w:p w:rsidR="000C7401" w:rsidRPr="000C7401" w:rsidRDefault="000C7401" w:rsidP="000C74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numPr>
          <w:ilvl w:val="0"/>
          <w:numId w:val="1"/>
        </w:num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Que en el marco del proyecto identificado en el encabezado se contempla la adquisición de: 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(especificar equipamiento)</w:t>
      </w: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t xml:space="preserve"> ……..……………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>, cuyas características técnicas específicas se detallan en el ANEXO I del presente instrumento.</w:t>
      </w:r>
    </w:p>
    <w:p w:rsidR="000C7401" w:rsidRPr="000C7401" w:rsidRDefault="000C7401" w:rsidP="000C7401">
      <w:pPr>
        <w:numPr>
          <w:ilvl w:val="0"/>
          <w:numId w:val="1"/>
        </w:num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Que se ha puesto toda la diligencia debida, a fin de implementar la investigación de mercado correspondiente, por la que se  determinó que el único equipo, a nivel local e internacional, que cumple con las exigencias establecidas en el proyecto es el: </w:t>
      </w: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(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especificar el equipamiento a comprar, marca y modelo</w:t>
      </w: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t>)…………….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, por las razones que se detallan en el ANEXO II. </w:t>
      </w:r>
    </w:p>
    <w:p w:rsidR="000C7401" w:rsidRPr="000C7401" w:rsidRDefault="000C7401" w:rsidP="000C7401">
      <w:pPr>
        <w:numPr>
          <w:ilvl w:val="0"/>
          <w:numId w:val="1"/>
        </w:numPr>
        <w:spacing w:after="0" w:line="360" w:lineRule="auto"/>
        <w:jc w:val="left"/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Que de la misma exploración de mercado resulta que la única firma proveedora del equipo mencionado en el punto 2 es: </w:t>
      </w: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(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especificar firma</w:t>
      </w: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)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>…………y que su representante exclusivo en Argentina es:……….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 xml:space="preserve"> (especificar firma, si corresponde).</w:t>
      </w: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i/>
          <w:sz w:val="24"/>
          <w:szCs w:val="24"/>
          <w:lang w:val="es-AR" w:eastAsia="es-ES"/>
        </w:rPr>
        <w:t>(En el caso que el proveedor seleccionado sea el representante único o exclusivo deberá adjuntar el certificado de representación vigente.).</w:t>
      </w:r>
    </w:p>
    <w:p w:rsidR="000C7401" w:rsidRPr="000C7401" w:rsidRDefault="000C7401" w:rsidP="000C7401">
      <w:pPr>
        <w:numPr>
          <w:ilvl w:val="0"/>
          <w:numId w:val="1"/>
        </w:numPr>
        <w:spacing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El inciso de la cláusula 3.6 de las </w:t>
      </w:r>
      <w:r w:rsidRPr="000C7401">
        <w:rPr>
          <w:rFonts w:ascii="Times New Roman" w:eastAsia="Times New Roman" w:hAnsi="Times New Roman" w:cs="Times New Roman"/>
          <w:sz w:val="22"/>
          <w:lang w:val="es-AR" w:eastAsia="es-ES"/>
        </w:rPr>
        <w:t>Políticas para la Adquisición de Bienes y Obras financiados por el Banco Interamericano de Desarrollo que justifica la contratación directa es: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 </w:t>
      </w:r>
    </w:p>
    <w:p w:rsidR="000C7401" w:rsidRPr="000C7401" w:rsidRDefault="000C7401" w:rsidP="000C74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76200</wp:posOffset>
                </wp:positionV>
                <wp:extent cx="111760" cy="111760"/>
                <wp:effectExtent l="7620" t="7620" r="13970" b="1397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9" o:spid="_x0000_s1026" style="position:absolute;margin-left:2.55pt;margin-top:6pt;width:8.8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laIwIAAD0EAAAOAAAAZHJzL2Uyb0RvYy54bWysU1FuEzEQ/UfiDpb/6WajpG1W2VRVShFS&#10;gYrCARyvd9fC9pixk025DWfhYoy9aUiBL8R+WDM74+c3b2aWV3tr2E5h0OBqXp5NOFNOQqNdV/PP&#10;n25fXXIWonCNMOBUzR9V4Ferly+Wg6/UFHowjUJGIC5Ug695H6OviiLIXlkRzsArR8EW0IpILnZF&#10;g2IgdGuK6WRyXgyAjUeQKgT6ezMG+Srjt62S8UPbBhWZqTlxi/nEfG7SWayWoupQ+F7LAw3xDyys&#10;0I4ePULdiCjYFvUfUFZLhABtPJNgC2hbLVWugaopJ79V89ALr3ItJE7wR5nC/4OV73f3yHRT8wVn&#10;Tlhq0UcS7cd3120NsEUSaPChorwHf4+pxODvQH4JzMG6F65T14gw9Eo0RKtM+cWzC8kJdJVthnfQ&#10;EL7YRsha7Vu0CZBUYPvcksdjS9Q+Mkk/y7K8OKfGSQod7PSCqJ4uewzxjQLLklFzJPIZXOzuQhxT&#10;n1IyeTC6udXGZAe7zdog2wmajtv8Zf5U42macWwgfebTeUZ+FgunEJP8/Q3C6khjbrSt+eUxSVRJ&#10;tdeuIZqiikKb0abqjDvImJQbO7CB5pFURBhnmHaOjB7wG2cDzW/Nw9etQMWZeeuoE4tyNksDn53Z&#10;/GJKDp5GNqcR4SRB1TxyNprrOC7J1qPuenqpzLU7uKbutTormzo7sjqQpRnNvTnsU1qCUz9n/dr6&#10;1U8AAAD//wMAUEsDBBQABgAIAAAAIQBO/R2S2wAAAAYBAAAPAAAAZHJzL2Rvd25yZXYueG1sTI9B&#10;T8MwDIXvSPyHyEjcWLoiBitNJwQaEsetu3BzG9MWGqdq0q3w6zEndrLs9/T8vXwzu14daQydZwPL&#10;RQKKuPa248bAodzePIAKEdli75kMfFOATXF5kWNm/Yl3dNzHRkkIhwwNtDEOmdahbslhWPiBWLQP&#10;PzqMso6NtiOeJNz1Ok2SlXbYsXxocaDnluqv/eQMVF16wJ9d+Zq49fY2vs3l5/T+Ysz11fz0CCrS&#10;HP/N8Icv6FAIU+UntkH1Bu6WYpRzKo1ETtN7UJXM9Qp0ketz/OIXAAD//wMAUEsBAi0AFAAGAAgA&#10;AAAhALaDOJL+AAAA4QEAABMAAAAAAAAAAAAAAAAAAAAAAFtDb250ZW50X1R5cGVzXS54bWxQSwEC&#10;LQAUAAYACAAAACEAOP0h/9YAAACUAQAACwAAAAAAAAAAAAAAAAAvAQAAX3JlbHMvLnJlbHNQSwEC&#10;LQAUAAYACAAAACEAjxHpWiMCAAA9BAAADgAAAAAAAAAAAAAAAAAuAgAAZHJzL2Uyb0RvYy54bWxQ&#10;SwECLQAUAAYACAAAACEATv0dktsAAAAGAQAADwAAAAAAAAAAAAAAAAB9BAAAZHJzL2Rvd25yZXYu&#10;eG1sUEsFBgAAAAAEAAQA8wAAAIUFAAAAAA==&#10;"/>
            </w:pict>
          </mc:Fallback>
        </mc:AlternateConten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a) un contrato existente para la ejecución de obras o el suministro de bienes, adjudicado de conformidad con procedimientos aceptables para el Banco, puede ampliarse para incluir bienes u obras adicionales de carácter similar. </w:t>
      </w: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40005</wp:posOffset>
                </wp:positionV>
                <wp:extent cx="111760" cy="111760"/>
                <wp:effectExtent l="7620" t="7620" r="13970" b="1397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2.55pt;margin-top:3.15pt;width:8.8pt;height: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z0IgIAAD0EAAAOAAAAZHJzL2Uyb0RvYy54bWysU12O0zAQfkfiDpbf2TRVuz9R09WqSxHS&#10;AisWDuA6TmJhe8zYbbrchrNwMcZOt3SBJ0QerJnM+PPM980srvfWsJ3CoMHVvDybcKachEa7ruaf&#10;P61fXXIWonCNMOBUzR9V4NfLly8Wg6/UFHowjUJGIC5Ug695H6OviiLIXlkRzsArR8EW0IpILnZF&#10;g2IgdGuK6WRyXgyAjUeQKgT6ezsG+TLjt62S8UPbBhWZqTnVFvOJ+dyks1guRNWh8L2WhzLEP1Rh&#10;hXb06BHqVkTBtqj/gLJaIgRo45kEW0DbaqlyD9RNOfmtm4deeJV7IXKCP9IU/h+sfL+7R6abmpNQ&#10;TliS6COR9uO767YG2GUiaPChorwHf4+pxeDvQH4JzMGqF65TN4gw9Eo0VFaZ8otnF5IT6CrbDO+g&#10;IXyxjZC52rdoEyCxwPZZksejJGofmaSfZVlenJNwkkIHO70gqqfLHkN8o8CyZNQcqfgMLnZ3IY6p&#10;Tym5eDC6WWtjsoPdZmWQ7QRNxzp/uX7q8TTNODbU/Go+nWfkZ7FwCjHJ398grI405kZb4vmYJKrE&#10;2mvXUJmiikKb0abujDvQmJgbFdhA80gsIowzTDtHRg/4jbOB5rfm4etWoOLMvHWkxFU5m6WBz85s&#10;fjElB08jm9OIcJKgah45G81VHJdk61F3Pb1U5t4d3JB6rc7MJmXHqg7F0oxmbQ77lJbg1M9Zv7Z+&#10;+RMAAP//AwBQSwMEFAAGAAgAAAAhAIA8G+7bAAAABQEAAA8AAABkcnMvZG93bnJldi54bWxMjkFP&#10;g0AUhO8m/ofNM/Fml0KslrI0RlMTjy29eHvAK6DsW8IuLfrrfZ70NJnMZObLtrPt1ZlG3zk2sFxE&#10;oIgrV3fcGDgWu7tHUD4g19g7JgNf5GGbX19lmNbuwns6H0KjZIR9igbaEIZUa1+1ZNEv3EAs2cmN&#10;FoPYsdH1iBcZt72Oo2ilLXYsDy0O9NxS9XmYrIGyi4/4vS9eI7veJeFtLj6m9xdjbm/mpw2oQHP4&#10;K8MvvqBDLkylm7j2qjdwv5SigVUCStI4fgBViiZr0Hmm/9PnPwAAAP//AwBQSwECLQAUAAYACAAA&#10;ACEAtoM4kv4AAADhAQAAEwAAAAAAAAAAAAAAAAAAAAAAW0NvbnRlbnRfVHlwZXNdLnhtbFBLAQIt&#10;ABQABgAIAAAAIQA4/SH/1gAAAJQBAAALAAAAAAAAAAAAAAAAAC8BAABfcmVscy8ucmVsc1BLAQIt&#10;ABQABgAIAAAAIQAWHXz0IgIAAD0EAAAOAAAAAAAAAAAAAAAAAC4CAABkcnMvZTJvRG9jLnhtbFBL&#10;AQItABQABgAIAAAAIQCAPBvu2wAAAAUBAAAPAAAAAAAAAAAAAAAAAHwEAABkcnMvZG93bnJldi54&#10;bWxQSwUGAAAAAAQABADzAAAAhAUAAAAA&#10;"/>
            </w:pict>
          </mc:Fallback>
        </mc:AlternateConten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b) la estandarización de equipo o de repuestos, con fines de compatibilidad con el equipo existente, puede justificar compras adicionales al proveedor original. </w:t>
      </w: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33020</wp:posOffset>
                </wp:positionV>
                <wp:extent cx="111760" cy="111760"/>
                <wp:effectExtent l="7620" t="12065" r="13970" b="952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2.55pt;margin-top:2.6pt;width:8.8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p/IwIAAD0EAAAOAAAAZHJzL2Uyb0RvYy54bWysU1FuEzEQ/UfiDpb/yWajpmlX2VRVSxBS&#10;gYrCARyvd9fC9pixk025DWfhYoy9aUiBL8R+WDM74+c3b2aWV3tr2E5h0OBqXk6mnCknodGuq/nn&#10;T+tXF5yFKFwjDDhV80cV+NXq5Yvl4Cs1gx5Mo5ARiAvV4Gvex+irogiyV1aECXjlKNgCWhHJxa5o&#10;UAyEbk0xm07PiwGw8QhShUB/b8cgX2X8tlUyfmjboCIzNSduMZ+Yz006i9VSVB0K32t5oCH+gYUV&#10;2tGjR6hbEQXbov4DymqJEKCNEwm2gLbVUuUaqJpy+ls1D73wKtdC4gR/lCn8P1j5fnePTDc1X3Dm&#10;hKUWfSTRfnx33dYAWySBBh8qynvw95hKDP4O5JfAHNz0wnXqGhGGXomGaJUpv3h2ITmBrrLN8A4a&#10;whfbCFmrfYs2AZIKbJ9b8nhsidpHJulnWZaLc2qcpNDBTi+I6umyxxDfKLAsGTVHIp/Bxe4uxDH1&#10;KSWTB6ObtTYmO9htbgyynaDpWOcv86caT9OMY0PNL+ezeUZ+FgunENP8/Q3C6khjbrSt+cUxSVRJ&#10;tdeuIZqiikKb0abqjDvImJQbO7CB5pFURBhnmHaOjB7wG2cDzW/Nw9etQMWZeeuoE5fl2Vka+Oyc&#10;zRczcvA0sjmNCCcJquaRs9G8ieOSbD3qrqeXyly7g2vqXquzsqmzI6sDWZrR3JvDPqUlOPVz1q+t&#10;X/0EAAD//wMAUEsDBBQABgAIAAAAIQCo6+D32QAAAAUBAAAPAAAAZHJzL2Rvd25yZXYueG1sTI7B&#10;TsMwEETvSPyDtUjcqNMgoIQ4FQIViWObXrht4iUJxOsodtrA17M90dNoNKOZl69n16sDjaHzbGC5&#10;SEAR19523BjYl5ubFagQkS32nsnADwVYF5cXOWbWH3lLh11slIxwyNBAG+OQaR3qlhyGhR+IJfv0&#10;o8Modmy0HfEo467XaZLca4cdy0OLA720VH/vJmeg6tI9/m7Lt8Q9bm7j+1x+TR+vxlxfzc9PoCLN&#10;8b8MJ3xBh0KYKj+xDao3cLeUokgKStI0fQBVnXQFusj1OX3xBwAA//8DAFBLAQItABQABgAIAAAA&#10;IQC2gziS/gAAAOEBAAATAAAAAAAAAAAAAAAAAAAAAABbQ29udGVudF9UeXBlc10ueG1sUEsBAi0A&#10;FAAGAAgAAAAhADj9If/WAAAAlAEAAAsAAAAAAAAAAAAAAAAALwEAAF9yZWxzLy5yZWxzUEsBAi0A&#10;FAAGAAgAAAAhAFRBin8jAgAAPQQAAA4AAAAAAAAAAAAAAAAALgIAAGRycy9lMm9Eb2MueG1sUEsB&#10;Ai0AFAAGAAgAAAAhAKjr4PfZAAAABQEAAA8AAAAAAAAAAAAAAAAAfQQAAGRycy9kb3ducmV2Lnht&#10;bFBLBQYAAAAABAAEAPMAAACDBQAAAAA=&#10;"/>
            </w:pict>
          </mc:Fallback>
        </mc:AlternateConten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>c) el equipo requerido es patentado o de marca registrada y puede obtenerse de una sola fuente;</w:t>
      </w: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45085</wp:posOffset>
                </wp:positionV>
                <wp:extent cx="111760" cy="111760"/>
                <wp:effectExtent l="7620" t="6985" r="13970" b="508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margin-left:2.55pt;margin-top:3.55pt;width:8.8pt;height: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/RIwIAAD0EAAAOAAAAZHJzL2Uyb0RvYy54bWysU1FuEzEQ/UfiDpb/6WajJG1X2VRVShFS&#10;gYrCARyvd9fC9pixk025DWfhYoy9aUiBL8R+WDM74+c3b2aWV3tr2E5h0OBqXp5NOFNOQqNdV/PP&#10;n25fXXAWonCNMOBUzR9V4Ferly+Wg6/UFHowjUJGIC5Ug695H6OviiLIXlkRzsArR8EW0IpILnZF&#10;g2IgdGuK6WSyKAbAxiNIFQL9vRmDfJXx21bJ+KFtg4rM1Jy4xXxiPjfpLFZLUXUofK/lgYb4BxZW&#10;aEePHqFuRBRsi/oPKKslQoA2nkmwBbStlirXQNWUk9+qeeiFV7kWEif4o0zh/8HK97t7ZLqp+YIz&#10;Jyy16COJ9uO767YG2CIJNPhQUd6Dv8dUYvB3IL8E5mDdC9epa0QYeiUaolWm/OLZheQEuso2wzto&#10;CF9sI2St9i3aBEgqsH1uyeOxJWofmaSfZVmeL6hxkkIHO70gqqfLHkN8o8CyZNQciXwGF7u7EMfU&#10;p5RMHoxubrUx2cFuszbIdoKm4zZ/mT/VeJpmHBtqfjmfzjPys1g4hZjk728QVkcac6NtzS+OSaJK&#10;qr12DdEUVRTajDZVZ9xBxqTc2IENNI+kIsI4w7RzZPSA3zgbaH5rHr5uBSrOzFtHnbgsZ7M08NmZ&#10;zc+n5OBpZHMaEU4SVM0jZ6O5juOSbD3qrqeXyly7g2vqXquzsqmzI6sDWZrR3JvDPqUlOPVz1q+t&#10;X/0EAAD//wMAUEsDBBQABgAIAAAAIQDBcR9K2gAAAAUBAAAPAAAAZHJzL2Rvd25yZXYueG1sTI5P&#10;T4NAFMTvJn6HzTPxZpfiHyyyNEZTE48tvXh7wCug7FvCLi366X2e6mkymcnML1vPtldHGn3n2MBy&#10;EYEirlzdcWNgX2xuHkH5gFxj75gMfJOHdX55kWFauxNv6bgLjZIR9ikaaEMYUq191ZJFv3ADsWQH&#10;N1oMYsdG1yOeZNz2Oo6iB22xY3locaCXlqqv3WQNlF28x59t8RbZ1eY2vM/F5/Txasz11fz8BCrQ&#10;HM5l+MMXdMiFqXQT1171Bu6XUjSQiEgaxwmoUvQuAZ1n+j99/gsAAP//AwBQSwECLQAUAAYACAAA&#10;ACEAtoM4kv4AAADhAQAAEwAAAAAAAAAAAAAAAAAAAAAAW0NvbnRlbnRfVHlwZXNdLnhtbFBLAQIt&#10;ABQABgAIAAAAIQA4/SH/1gAAAJQBAAALAAAAAAAAAAAAAAAAAC8BAABfcmVscy8ucmVsc1BLAQIt&#10;ABQABgAIAAAAIQDNTR/RIwIAAD0EAAAOAAAAAAAAAAAAAAAAAC4CAABkcnMvZTJvRG9jLnhtbFBL&#10;AQItABQABgAIAAAAIQDBcR9K2gAAAAUBAAAPAAAAAAAAAAAAAAAAAH0EAABkcnMvZG93bnJldi54&#10;bWxQSwUGAAAAAAQABADzAAAAhAUAAAAA&#10;"/>
            </w:pict>
          </mc:Fallback>
        </mc:AlternateConten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d) el contratista responsable del diseño de un proceso exige la compra de elementos críticos de un proveedor determinado como condición de mantener su garantía de cumplimiento; y </w:t>
      </w: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9525</wp:posOffset>
                </wp:positionV>
                <wp:extent cx="111760" cy="111760"/>
                <wp:effectExtent l="7620" t="7620" r="13970" b="1397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2.55pt;margin-top:.75pt;width:8.8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H5IwIAAD0EAAAOAAAAZHJzL2Uyb0RvYy54bWysU12O0zAQfkfiDpbfaZpquz9R09VqlyKk&#10;BVYsHMB1nMTC9pix27TchrNwMcZOt3SBJ0QerJnM+PM338wsrnfWsK3CoMHVvJxMOVNOQqNdV/PP&#10;n1avLjkLUbhGGHCq5nsV+PXy5YvF4Cs1gx5Mo5ARiAvV4Gvex+irogiyV1aECXjlKNgCWhHJxa5o&#10;UAyEbk0xm07PiwGw8QhShUB/78YgX2b8tlUyfmjboCIzNSduMZ+Yz3U6i+VCVB0K32t5oCH+gYUV&#10;2tGjR6g7EQXboP4DymqJEKCNEwm2gLbVUuUaqJpy+ls1j73wKtdC4gR/lCn8P1j5fvuATDc1n3Pm&#10;hKUWfSTRfnx33cYAmyeBBh8qynv0D5hKDP4e5JfAHNz2wnXqBhGGXomGaJUpv3h2ITmBrrL18A4a&#10;whebCFmrXYs2AZIKbJdbsj+2RO0ik/SzLMuLc2qcpNDBTi+I6umyxxDfKLAsGTVHIp/BxfY+xDH1&#10;KSWTB6OblTYmO9itbw2yraDpWOUv86caT9OMY0PNr+azeUZ+FgunENP8/Q3C6khjbrSt+eUxSVRJ&#10;tdeuIZqiikKb0abqjDvImJQbO7CGZk8qIowzTDtHRg/4jbOB5rfm4etGoOLMvHXUiavy7CwNfHbO&#10;5hczcvA0sj6NCCcJquaRs9G8jeOSbDzqrqeXyly7gxvqXquzsqmzI6sDWZrR3JvDPqUlOPVz1q+t&#10;X/4EAAD//wMAUEsDBBQABgAIAAAAIQDCWtZb2QAAAAUBAAAPAAAAZHJzL2Rvd25yZXYueG1sTI5P&#10;T4NAEMXvJn6HzZh4swuYqqUsjdHUxGNLL94GGIHKzhJ2adFP73iyx/cn7/2yzWx7daLRd44NxIsI&#10;FHHl6o4bA4die/cEygfkGnvHZOCbPGzy66sM09qdeUenfWiUjLBP0UAbwpBq7auWLPqFG4gl+3Sj&#10;xSBybHQ94lnGba+TKHrQFjuWhxYHemmp+tpP1kDZJQf82RVvkV1t78P7XBynj1djbm/m5zWoQHP4&#10;L8MfvqBDLkylm7j2qjewjKUo9hKUpEnyCKoUuYpB55m+pM9/AQAA//8DAFBLAQItABQABgAIAAAA&#10;IQC2gziS/gAAAOEBAAATAAAAAAAAAAAAAAAAAAAAAABbQ29udGVudF9UeXBlc10ueG1sUEsBAi0A&#10;FAAGAAgAAAAhADj9If/WAAAAlAEAAAsAAAAAAAAAAAAAAAAALwEAAF9yZWxzLy5yZWxzUEsBAi0A&#10;FAAGAAgAAAAhACde0fkjAgAAPQQAAA4AAAAAAAAAAAAAAAAALgIAAGRycy9lMm9Eb2MueG1sUEsB&#10;Ai0AFAAGAAgAAAAhAMJa1lvZAAAABQEAAA8AAAAAAAAAAAAAAAAAfQQAAGRycy9kb3ducmV2Lnht&#10;bFBLBQYAAAAABAAEAPMAAACDBQAAAAA=&#10;"/>
            </w:pict>
          </mc:Fallback>
        </mc:AlternateConten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e) en casos excepcionales, tales como en respuesta a desastres naturales. </w:t>
      </w: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………………………               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  <w:t xml:space="preserve">……………………………………...                                       </w:t>
      </w:r>
    </w:p>
    <w:p w:rsidR="000C7401" w:rsidRPr="000C7401" w:rsidRDefault="000C7401" w:rsidP="000C7401">
      <w:pPr>
        <w:spacing w:after="0" w:line="360" w:lineRule="auto"/>
        <w:ind w:firstLine="708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Lugar y Fecha 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ab/>
        <w:t>Firma y aclaración del IR</w:t>
      </w: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br w:type="page"/>
      </w:r>
    </w:p>
    <w:p w:rsidR="000C7401" w:rsidRPr="000C7401" w:rsidRDefault="000C7401" w:rsidP="000C7401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lastRenderedPageBreak/>
        <w:t>ANEXO I</w:t>
      </w: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>Detallar las especificaciones técnicas del Equipamiento solicitado:</w:t>
      </w:r>
    </w:p>
    <w:p w:rsidR="00237CC7" w:rsidRPr="000C7401" w:rsidRDefault="000C7401" w:rsidP="000C7401">
      <w:pPr>
        <w:rPr>
          <w:lang w:val="es-AR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br w:type="page"/>
      </w:r>
    </w:p>
    <w:p w:rsidR="000C7401" w:rsidRPr="000C7401" w:rsidRDefault="000C7401" w:rsidP="000C7401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lastRenderedPageBreak/>
        <w:t>ANEXO II</w:t>
      </w: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</w:pPr>
    </w:p>
    <w:p w:rsidR="000C7401" w:rsidRPr="000C7401" w:rsidRDefault="000C7401" w:rsidP="000C7401">
      <w:pPr>
        <w:spacing w:after="0" w:line="360" w:lineRule="auto"/>
        <w:ind w:left="284"/>
        <w:jc w:val="left"/>
        <w:rPr>
          <w:rFonts w:eastAsia="Times New Roman" w:cs="Arial"/>
          <w:sz w:val="24"/>
          <w:szCs w:val="24"/>
          <w:lang w:val="es-AR" w:eastAsia="es-ES"/>
        </w:rPr>
      </w:pP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>El equipo…</w:t>
      </w: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t>……… (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Equipamiento a comprar, marca y modelo</w:t>
      </w: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t>)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 es </w:t>
      </w:r>
      <w:r w:rsidRPr="000C7401">
        <w:rPr>
          <w:rFonts w:ascii="Times New Roman" w:eastAsia="Times New Roman" w:hAnsi="Times New Roman" w:cs="Times New Roman"/>
          <w:b/>
          <w:sz w:val="24"/>
          <w:szCs w:val="24"/>
          <w:lang w:val="es-AR" w:eastAsia="es-ES"/>
        </w:rPr>
        <w:t>el único</w:t>
      </w:r>
      <w:r w:rsidRPr="000C7401">
        <w:rPr>
          <w:rFonts w:ascii="Times New Roman" w:eastAsia="Times New Roman" w:hAnsi="Times New Roman" w:cs="Times New Roman"/>
          <w:sz w:val="24"/>
          <w:szCs w:val="24"/>
          <w:lang w:val="es-AR" w:eastAsia="es-ES"/>
        </w:rPr>
        <w:t xml:space="preserve"> que puede adquirirse por las siguientes razones: </w:t>
      </w:r>
      <w:r w:rsidRPr="000C7401">
        <w:rPr>
          <w:rFonts w:ascii="Times New Roman" w:eastAsia="Times New Roman" w:hAnsi="Times New Roman" w:cs="Times New Roman"/>
          <w:b/>
          <w:i/>
          <w:sz w:val="24"/>
          <w:szCs w:val="24"/>
          <w:lang w:val="es-AR" w:eastAsia="es-ES"/>
        </w:rPr>
        <w:t>(justificar en forma clara y detallada).</w:t>
      </w:r>
    </w:p>
    <w:p w:rsidR="00B34284" w:rsidRPr="000C7401" w:rsidRDefault="00B34284" w:rsidP="00237CC7">
      <w:pPr>
        <w:rPr>
          <w:lang w:val="es-AR"/>
        </w:rPr>
      </w:pPr>
      <w:bookmarkStart w:id="0" w:name="_GoBack"/>
      <w:bookmarkEnd w:id="0"/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B34284" w:rsidRPr="000C7401" w:rsidRDefault="00B34284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Pr="000C7401" w:rsidRDefault="00237CC7" w:rsidP="00237CC7">
      <w:pPr>
        <w:rPr>
          <w:lang w:val="es-AR"/>
        </w:rPr>
      </w:pPr>
    </w:p>
    <w:p w:rsidR="00237CC7" w:rsidRDefault="00237CC7" w:rsidP="00237CC7"/>
    <w:sectPr w:rsidR="00237CC7" w:rsidSect="00B342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418" w:bottom="1701" w:left="1418" w:header="255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A3" w:rsidRDefault="00B316A3" w:rsidP="006B5831">
      <w:pPr>
        <w:spacing w:after="0" w:line="240" w:lineRule="auto"/>
      </w:pPr>
      <w:r>
        <w:separator/>
      </w:r>
    </w:p>
  </w:endnote>
  <w:endnote w:type="continuationSeparator" w:id="0">
    <w:p w:rsidR="00B316A3" w:rsidRDefault="00B316A3" w:rsidP="006B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AA" w:rsidRDefault="00241AA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753" w:rsidRDefault="00BC3753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3360" behindDoc="1" locked="0" layoutInCell="1" allowOverlap="1" wp14:anchorId="229C4793" wp14:editId="607293E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080000"/>
          <wp:effectExtent l="0" t="0" r="3175" b="635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753" w:rsidRDefault="00BC3753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1" allowOverlap="1" wp14:anchorId="7E3336E9" wp14:editId="0DCE7478">
          <wp:simplePos x="904875" y="9867900"/>
          <wp:positionH relativeFrom="page">
            <wp:align>center</wp:align>
          </wp:positionH>
          <wp:positionV relativeFrom="page">
            <wp:align>bottom</wp:align>
          </wp:positionV>
          <wp:extent cx="7560000" cy="1080000"/>
          <wp:effectExtent l="0" t="0" r="3175" b="63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A3" w:rsidRDefault="00B316A3" w:rsidP="006B5831">
      <w:pPr>
        <w:spacing w:after="0" w:line="240" w:lineRule="auto"/>
      </w:pPr>
      <w:r>
        <w:separator/>
      </w:r>
    </w:p>
  </w:footnote>
  <w:footnote w:type="continuationSeparator" w:id="0">
    <w:p w:rsidR="00B316A3" w:rsidRDefault="00B316A3" w:rsidP="006B5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AA" w:rsidRDefault="00241AA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831" w:rsidRDefault="00C46F55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53965216" wp14:editId="48D8074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623600"/>
          <wp:effectExtent l="0" t="0" r="317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c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CC7" w:rsidRDefault="00237CC7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6A0623A" wp14:editId="71E5211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48834" cy="162000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c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34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23D81"/>
    <w:multiLevelType w:val="hybridMultilevel"/>
    <w:tmpl w:val="86669D2A"/>
    <w:lvl w:ilvl="0" w:tplc="31166138">
      <w:start w:val="1"/>
      <w:numFmt w:val="decimal"/>
      <w:lvlText w:val="%1."/>
      <w:lvlJc w:val="left"/>
      <w:pPr>
        <w:tabs>
          <w:tab w:val="num" w:pos="0"/>
        </w:tabs>
        <w:ind w:left="284" w:firstLine="76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31"/>
    <w:rsid w:val="000C7401"/>
    <w:rsid w:val="00232EF4"/>
    <w:rsid w:val="00237CC7"/>
    <w:rsid w:val="00241AAA"/>
    <w:rsid w:val="00371C06"/>
    <w:rsid w:val="006B5831"/>
    <w:rsid w:val="007127D0"/>
    <w:rsid w:val="008A076A"/>
    <w:rsid w:val="00A46146"/>
    <w:rsid w:val="00B316A3"/>
    <w:rsid w:val="00B34284"/>
    <w:rsid w:val="00B758A1"/>
    <w:rsid w:val="00B83436"/>
    <w:rsid w:val="00BC3753"/>
    <w:rsid w:val="00C46F55"/>
    <w:rsid w:val="00C852E4"/>
    <w:rsid w:val="00E80C91"/>
    <w:rsid w:val="00EB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de parrafo Agencia"/>
    <w:qFormat/>
    <w:rsid w:val="00237CC7"/>
    <w:pPr>
      <w:spacing w:line="312" w:lineRule="auto"/>
      <w:jc w:val="both"/>
    </w:pPr>
    <w:rPr>
      <w:rFonts w:ascii="Arial" w:hAnsi="Arial"/>
      <w:sz w:val="20"/>
    </w:rPr>
  </w:style>
  <w:style w:type="paragraph" w:styleId="Ttulo1">
    <w:name w:val="heading 1"/>
    <w:aliases w:val="Título Agencia"/>
    <w:basedOn w:val="Normal"/>
    <w:next w:val="Normal"/>
    <w:link w:val="Ttulo1Car"/>
    <w:uiPriority w:val="9"/>
    <w:qFormat/>
    <w:rsid w:val="00237CC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83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5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31"/>
  </w:style>
  <w:style w:type="paragraph" w:styleId="Piedepgina">
    <w:name w:val="footer"/>
    <w:basedOn w:val="Normal"/>
    <w:link w:val="PiedepginaCar"/>
    <w:uiPriority w:val="99"/>
    <w:unhideWhenUsed/>
    <w:rsid w:val="006B5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31"/>
  </w:style>
  <w:style w:type="character" w:customStyle="1" w:styleId="Ttulo1Car">
    <w:name w:val="Título 1 Car"/>
    <w:aliases w:val="Título Agencia Car"/>
    <w:basedOn w:val="Fuentedeprrafopredeter"/>
    <w:link w:val="Ttulo1"/>
    <w:uiPriority w:val="9"/>
    <w:rsid w:val="00237CC7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aliases w:val="Subtítulos Agencia"/>
    <w:basedOn w:val="Normal"/>
    <w:next w:val="Normal"/>
    <w:link w:val="SubttuloCar"/>
    <w:uiPriority w:val="11"/>
    <w:qFormat/>
    <w:rsid w:val="00237CC7"/>
    <w:pPr>
      <w:numPr>
        <w:ilvl w:val="1"/>
      </w:numPr>
    </w:pPr>
    <w:rPr>
      <w:rFonts w:eastAsiaTheme="majorEastAsia" w:cstheme="majorBidi"/>
      <w:b/>
      <w:i/>
      <w:iCs/>
      <w:color w:val="595959" w:themeColor="text1" w:themeTint="A6"/>
      <w:spacing w:val="15"/>
      <w:sz w:val="24"/>
      <w:szCs w:val="24"/>
    </w:rPr>
  </w:style>
  <w:style w:type="character" w:customStyle="1" w:styleId="SubttuloCar">
    <w:name w:val="Subtítulo Car"/>
    <w:aliases w:val="Subtítulos Agencia Car"/>
    <w:basedOn w:val="Fuentedeprrafopredeter"/>
    <w:link w:val="Subttulo"/>
    <w:uiPriority w:val="11"/>
    <w:rsid w:val="00237CC7"/>
    <w:rPr>
      <w:rFonts w:ascii="Arial" w:eastAsiaTheme="majorEastAsia" w:hAnsi="Arial" w:cstheme="majorBidi"/>
      <w:b/>
      <w:i/>
      <w:iCs/>
      <w:color w:val="595959" w:themeColor="text1" w:themeTint="A6"/>
      <w:spacing w:val="15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237CC7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237CC7"/>
    <w:rPr>
      <w:rFonts w:ascii="Arial" w:hAnsi="Arial"/>
      <w:i/>
      <w:iCs/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de parrafo Agencia"/>
    <w:qFormat/>
    <w:rsid w:val="00237CC7"/>
    <w:pPr>
      <w:spacing w:line="312" w:lineRule="auto"/>
      <w:jc w:val="both"/>
    </w:pPr>
    <w:rPr>
      <w:rFonts w:ascii="Arial" w:hAnsi="Arial"/>
      <w:sz w:val="20"/>
    </w:rPr>
  </w:style>
  <w:style w:type="paragraph" w:styleId="Ttulo1">
    <w:name w:val="heading 1"/>
    <w:aliases w:val="Título Agencia"/>
    <w:basedOn w:val="Normal"/>
    <w:next w:val="Normal"/>
    <w:link w:val="Ttulo1Car"/>
    <w:uiPriority w:val="9"/>
    <w:qFormat/>
    <w:rsid w:val="00237CC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83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5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31"/>
  </w:style>
  <w:style w:type="paragraph" w:styleId="Piedepgina">
    <w:name w:val="footer"/>
    <w:basedOn w:val="Normal"/>
    <w:link w:val="PiedepginaCar"/>
    <w:uiPriority w:val="99"/>
    <w:unhideWhenUsed/>
    <w:rsid w:val="006B5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31"/>
  </w:style>
  <w:style w:type="character" w:customStyle="1" w:styleId="Ttulo1Car">
    <w:name w:val="Título 1 Car"/>
    <w:aliases w:val="Título Agencia Car"/>
    <w:basedOn w:val="Fuentedeprrafopredeter"/>
    <w:link w:val="Ttulo1"/>
    <w:uiPriority w:val="9"/>
    <w:rsid w:val="00237CC7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aliases w:val="Subtítulos Agencia"/>
    <w:basedOn w:val="Normal"/>
    <w:next w:val="Normal"/>
    <w:link w:val="SubttuloCar"/>
    <w:uiPriority w:val="11"/>
    <w:qFormat/>
    <w:rsid w:val="00237CC7"/>
    <w:pPr>
      <w:numPr>
        <w:ilvl w:val="1"/>
      </w:numPr>
    </w:pPr>
    <w:rPr>
      <w:rFonts w:eastAsiaTheme="majorEastAsia" w:cstheme="majorBidi"/>
      <w:b/>
      <w:i/>
      <w:iCs/>
      <w:color w:val="595959" w:themeColor="text1" w:themeTint="A6"/>
      <w:spacing w:val="15"/>
      <w:sz w:val="24"/>
      <w:szCs w:val="24"/>
    </w:rPr>
  </w:style>
  <w:style w:type="character" w:customStyle="1" w:styleId="SubttuloCar">
    <w:name w:val="Subtítulo Car"/>
    <w:aliases w:val="Subtítulos Agencia Car"/>
    <w:basedOn w:val="Fuentedeprrafopredeter"/>
    <w:link w:val="Subttulo"/>
    <w:uiPriority w:val="11"/>
    <w:rsid w:val="00237CC7"/>
    <w:rPr>
      <w:rFonts w:ascii="Arial" w:eastAsiaTheme="majorEastAsia" w:hAnsi="Arial" w:cstheme="majorBidi"/>
      <w:b/>
      <w:i/>
      <w:iCs/>
      <w:color w:val="595959" w:themeColor="text1" w:themeTint="A6"/>
      <w:spacing w:val="15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237CC7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237CC7"/>
    <w:rPr>
      <w:rFonts w:ascii="Arial" w:hAnsi="Arial"/>
      <w:i/>
      <w:iCs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Administrador</cp:lastModifiedBy>
  <cp:revision>2</cp:revision>
  <dcterms:created xsi:type="dcterms:W3CDTF">2021-04-26T19:30:00Z</dcterms:created>
  <dcterms:modified xsi:type="dcterms:W3CDTF">2021-04-26T19:30:00Z</dcterms:modified>
</cp:coreProperties>
</file>